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公文小标宋" w:hAnsi="方正公文小标宋" w:eastAsia="方正公文小标宋" w:cs="方正公文小标宋"/>
          <w:color w:val="auto"/>
          <w:sz w:val="36"/>
          <w:szCs w:val="36"/>
        </w:rPr>
      </w:pPr>
      <w:r>
        <w:rPr>
          <w:rFonts w:hint="eastAsia" w:ascii="方正公文小标宋" w:hAnsi="方正公文小标宋" w:eastAsia="方正公文小标宋" w:cs="方正公文小标宋"/>
          <w:color w:val="auto"/>
          <w:sz w:val="36"/>
          <w:szCs w:val="36"/>
          <w:lang w:eastAsia="zh-CN"/>
        </w:rPr>
        <w:t>亳州市审计局</w:t>
      </w:r>
      <w:r>
        <w:rPr>
          <w:rFonts w:hint="eastAsia" w:ascii="方正公文小标宋" w:hAnsi="方正公文小标宋" w:eastAsia="方正公文小标宋" w:cs="方正公文小标宋"/>
          <w:color w:val="auto"/>
          <w:sz w:val="36"/>
          <w:szCs w:val="36"/>
        </w:rPr>
        <w:t>202</w:t>
      </w:r>
      <w:r>
        <w:rPr>
          <w:rFonts w:hint="eastAsia" w:ascii="方正公文小标宋" w:hAnsi="方正公文小标宋" w:eastAsia="方正公文小标宋" w:cs="方正公文小标宋"/>
          <w:color w:val="auto"/>
          <w:sz w:val="36"/>
          <w:szCs w:val="36"/>
          <w:lang w:val="en-US" w:eastAsia="zh-CN"/>
        </w:rPr>
        <w:t>5</w:t>
      </w:r>
      <w:r>
        <w:rPr>
          <w:rFonts w:hint="eastAsia" w:ascii="方正公文小标宋" w:hAnsi="方正公文小标宋" w:eastAsia="方正公文小标宋" w:cs="方正公文小标宋"/>
          <w:color w:val="auto"/>
          <w:sz w:val="36"/>
          <w:szCs w:val="36"/>
        </w:rPr>
        <w:t>年政府信息公开工作报告</w:t>
      </w:r>
    </w:p>
    <w:p>
      <w:pPr>
        <w:rPr>
          <w:rFonts w:hint="default" w:ascii="Times New Roman" w:hAnsi="Times New Roman" w:eastAsia="方正仿宋_GB18030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根据《中华人民共和国政府信息公开条例》（国务院令第711号）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（以下简称《条例》）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、《国务院办公厅政府信息与政务公开办公室关于印发〈中华人民共和国政府信息公开工作年度报告格式〉的通知》（国办公开办函〔2021〕30号）规定，发布亳州市人民政府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年度政府信息公开工作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年度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报告。本年度报告电子版可从亳州市人民政府网站（www.bozhou.gov.cn）“政府信息公开年报”专栏下载。报告中所列数据统计期限自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年1月1日起，至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年12月31日止。如对报告内容有疑问，请与亳州市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审计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局联系（地址：安徽省亳州市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希夷大道588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号；邮编：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236800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；电话：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0558-5555360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</w:rPr>
        <w:t>（一）主动公开政府信息。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2025年，我局认真贯彻落实市委、市政府关于政务公开工作的部署，扎实推进审计监督与政务公开深度融合，仅仅围绕审计中心工作，依法有序推进政府信息公开。全年通过政府网站、政务新媒体等渠道主动公开各类信息2457条，内容涵盖审计结果公告、审计工作动态、政策法规解读、部门预决算、审计项目计划、审计整改情况等。积极推进重点领域信息公开，按时发布年度审计项目计划、审计工作报告和审计整改报告，增强审计工作透明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方正楷体_GB2312" w:hAnsi="方正楷体_GB2312" w:eastAsia="方正楷体_GB2312" w:cs="方正楷体_GB2312"/>
          <w:color w:val="auto"/>
          <w:sz w:val="32"/>
          <w:szCs w:val="32"/>
        </w:rPr>
        <w:t>（二）依申请公开办理</w:t>
      </w:r>
      <w:r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全年共收到政府信息公开申请2件（其中网络渠道申请2件）。所有申请均依法按时办理，办结2件，未结转下年度。未发生因政府信息公开引发的行政复议或行政诉讼。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方正楷体_GB2312" w:hAnsi="方正楷体_GB2312" w:eastAsia="方正楷体_GB2312" w:cs="方正楷体_GB2312"/>
          <w:color w:val="auto"/>
          <w:sz w:val="32"/>
          <w:szCs w:val="32"/>
        </w:rPr>
        <w:t>（三）政府信息管理。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严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格执行政府信息管理制度，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对于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主动公开标准目录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内容，及时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完善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，动态更新54条。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加强规范性文件管理，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每季度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开展文件清理工作，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2025年，我局未制发规范性文件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。落实公文公开属性源头认定机制和“三审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三校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”制度，所有拟公开的政府信息均经信息制作人员初审、科室负责人复审、分管领导终审，全年未发生因信息内容不当引发的舆情或争议，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切实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保障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了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信息公开质量。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  <w:lang w:eastAsia="zh-CN"/>
        </w:rPr>
        <w:t>（四）</w:t>
      </w:r>
      <w:r>
        <w:rPr>
          <w:rFonts w:hint="default" w:ascii="方正楷体_GB2312" w:hAnsi="方正楷体_GB2312" w:eastAsia="方正楷体_GB2312" w:cs="方正楷体_GB2312"/>
          <w:color w:val="auto"/>
          <w:sz w:val="32"/>
          <w:szCs w:val="32"/>
        </w:rPr>
        <w:t>政府信息公开平台建设。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目前我局已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构建以局门户网站为核心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，微博、微信两个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政务新媒体为拓展的多元化公开平台矩阵，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2025年点击量总计达280万以上，切实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提升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了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信息发布的覆盖面、到达率和互动性。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  <w:lang w:eastAsia="zh-CN"/>
        </w:rPr>
        <w:t>（五）</w:t>
      </w:r>
      <w:r>
        <w:rPr>
          <w:rFonts w:hint="default" w:ascii="方正楷体_GB2312" w:hAnsi="方正楷体_GB2312" w:eastAsia="方正楷体_GB2312" w:cs="方正楷体_GB2312"/>
          <w:color w:val="auto"/>
          <w:sz w:val="32"/>
          <w:szCs w:val="32"/>
        </w:rPr>
        <w:t>监督保障。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局党组将政务公开工作纳入重要议事日程，全年专题研究部署政务公开工作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次，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定期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听取工作汇报，协调解决重点难点问题。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二是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积极组织参加市举办的政务公开工作培训会议与专题培训班，全年累计参训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次，参与人员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人次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有效提升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相关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人员的政策理论水平和实务操作能力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。三是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严格执行信息发布“三审三校”制度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重点对信息的政策性、准确性、规范性进行层层把关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从源头上保障了信息公开质量。本年度未开展社会评议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，</w:t>
      </w:r>
      <w:bookmarkStart w:id="0" w:name="_GoBack"/>
      <w:bookmarkEnd w:id="0"/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无政府信息公开责任追究情况。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default"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二、主动公开政府信息</w:t>
      </w:r>
      <w:r>
        <w:rPr>
          <w:rFonts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情况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81"/>
        <w:gridCol w:w="2081"/>
        <w:gridCol w:w="2082"/>
        <w:gridCol w:w="20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00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本年制发件数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本年废止件数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现行有效件数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规章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行政规范性文件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00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5000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行政处罚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行政强制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5000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本年收费金额（单位：万元）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行政事业性收费</w:t>
            </w:r>
          </w:p>
        </w:tc>
        <w:tc>
          <w:tcPr>
            <w:tcW w:w="375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4"/>
        <w:tblW w:w="5072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1"/>
        <w:gridCol w:w="758"/>
        <w:gridCol w:w="2907"/>
        <w:gridCol w:w="591"/>
        <w:gridCol w:w="593"/>
        <w:gridCol w:w="593"/>
        <w:gridCol w:w="593"/>
        <w:gridCol w:w="593"/>
        <w:gridCol w:w="613"/>
        <w:gridCol w:w="61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20" w:type="pct"/>
            <w:gridSpan w:val="3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2479" w:type="pct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1767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361" w:type="pct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企业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机构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36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其他</w:t>
            </w:r>
          </w:p>
        </w:tc>
        <w:tc>
          <w:tcPr>
            <w:tcW w:w="361" w:type="pct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252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3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6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2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0" w:type="pct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17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17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49" w:type="pct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3.危及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0"/>
                <w:szCs w:val="20"/>
                <w:lang w:eastAsia="zh-CN"/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三安全一稳定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0"/>
                <w:szCs w:val="20"/>
                <w:lang w:eastAsia="zh-CN"/>
              </w:rPr>
              <w:t>”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49" w:type="pct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49" w:type="pct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591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49" w:type="pct"/>
            <w:vMerge w:val="restart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1.申请人无正当理由逾期不补正、行政机关不再处理其政府信息公开申请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2.申请人逾期未按收费通知要求缴纳费用、行政机关不再处理其政府信息公开申请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2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3.其他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inset" w:color="auto" w:sz="8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17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rPr>
          <w:jc w:val="center"/>
        </w:trPr>
        <w:tc>
          <w:tcPr>
            <w:tcW w:w="252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4"/>
        <w:tblW w:w="5012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4"/>
        <w:gridCol w:w="504"/>
        <w:gridCol w:w="504"/>
        <w:gridCol w:w="504"/>
        <w:gridCol w:w="761"/>
        <w:gridCol w:w="506"/>
        <w:gridCol w:w="506"/>
        <w:gridCol w:w="506"/>
        <w:gridCol w:w="506"/>
        <w:gridCol w:w="760"/>
        <w:gridCol w:w="506"/>
        <w:gridCol w:w="506"/>
        <w:gridCol w:w="506"/>
        <w:gridCol w:w="506"/>
        <w:gridCol w:w="76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64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3335" w:type="pct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2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302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纠正</w:t>
            </w:r>
          </w:p>
        </w:tc>
        <w:tc>
          <w:tcPr>
            <w:tcW w:w="302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其他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</w:p>
        </w:tc>
        <w:tc>
          <w:tcPr>
            <w:tcW w:w="302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尚未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审结</w:t>
            </w:r>
          </w:p>
        </w:tc>
        <w:tc>
          <w:tcPr>
            <w:tcW w:w="453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总计</w:t>
            </w:r>
          </w:p>
        </w:tc>
        <w:tc>
          <w:tcPr>
            <w:tcW w:w="1667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1667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维持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纠正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其他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尚未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审结</w:t>
            </w:r>
          </w:p>
        </w:tc>
        <w:tc>
          <w:tcPr>
            <w:tcW w:w="4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总计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维持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纠正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其他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结果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尚未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审结</w:t>
            </w:r>
          </w:p>
        </w:tc>
        <w:tc>
          <w:tcPr>
            <w:tcW w:w="4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5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color w:val="auto"/>
          <w:sz w:val="32"/>
          <w:szCs w:val="32"/>
        </w:rPr>
        <w:t>五、存在问题及改进情况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  <w:lang w:val="en-US" w:eastAsia="zh-CN"/>
        </w:rPr>
        <w:t>（一）存在的主要问题。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一是部分信息公开时效性不强，从信息产生到公开上线的链条有时较长，存在一定滞后性，未能严格按照“应公开尽公开”和“第一时间公开”的原则及时发布，影响了公众获取信息的及时性。二是信息公开形式创新不足，当前信息公开形式仍以传统的文字公告、文件转载为主，未能充分运用图文解析、短视频、动画等更为生动直观的形式，呈现方式较为单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  <w:lang w:eastAsia="zh-CN"/>
        </w:rPr>
        <w:t>（二）改进情况。</w:t>
      </w:r>
      <w:r>
        <w:rPr>
          <w:rFonts w:hint="eastAsia" w:ascii="Times New Roman" w:hAnsi="Times New Roman" w:eastAsia="方正仿宋_GB18030" w:cs="Times New Roman"/>
          <w:color w:val="auto"/>
          <w:sz w:val="32"/>
          <w:szCs w:val="32"/>
          <w:lang w:val="en-US" w:eastAsia="zh-CN"/>
        </w:rPr>
        <w:t>一是针对“发布不够及时”问题，明确专人对重点领域、社会关切事项信息进行严格的时限管理，建立“即时产生、快速审核、限时发布”的绿色通道，进一步提升信息公开的时效性。二是针对“形式创新不足”问题，结合我局优秀审计项目打造，拟计划拍摄审计故事微视频，丰富解读形式，增强内容的互动性和可读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color w:val="auto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18030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18030" w:cs="Times New Roman"/>
          <w:color w:val="auto"/>
          <w:sz w:val="32"/>
          <w:szCs w:val="32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18030" w:cs="Times New Roman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7A"/>
    <w:family w:val="auto"/>
    <w:pitch w:val="default"/>
    <w:sig w:usb0="00000000" w:usb1="00000000" w:usb2="00000001" w:usb3="00000000" w:csb0="400001BF" w:csb1="DFF7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altName w:val="方正小标宋_GBK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仿宋_GB18030">
    <w:altName w:val="方正仿宋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altName w:val="楷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细黑一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圆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13FAA"/>
    <w:rsid w:val="0AD02D1F"/>
    <w:rsid w:val="0C7704B7"/>
    <w:rsid w:val="0DCE1532"/>
    <w:rsid w:val="11CE3251"/>
    <w:rsid w:val="129C3972"/>
    <w:rsid w:val="1A6D72C8"/>
    <w:rsid w:val="20DA3966"/>
    <w:rsid w:val="34DF6376"/>
    <w:rsid w:val="358A61A0"/>
    <w:rsid w:val="36234646"/>
    <w:rsid w:val="374D57FA"/>
    <w:rsid w:val="39091FCE"/>
    <w:rsid w:val="397367C5"/>
    <w:rsid w:val="42E74437"/>
    <w:rsid w:val="49654436"/>
    <w:rsid w:val="4EAB72F1"/>
    <w:rsid w:val="51945352"/>
    <w:rsid w:val="54101841"/>
    <w:rsid w:val="55F34880"/>
    <w:rsid w:val="55FC75DE"/>
    <w:rsid w:val="56CF23CF"/>
    <w:rsid w:val="56E93671"/>
    <w:rsid w:val="579E67C5"/>
    <w:rsid w:val="58D754B1"/>
    <w:rsid w:val="5C69772C"/>
    <w:rsid w:val="5FDB26A7"/>
    <w:rsid w:val="62B66DBE"/>
    <w:rsid w:val="649E1F3D"/>
    <w:rsid w:val="6D002A36"/>
    <w:rsid w:val="70F73101"/>
    <w:rsid w:val="74F73565"/>
    <w:rsid w:val="76776598"/>
    <w:rsid w:val="77B52783"/>
    <w:rsid w:val="78DB67B6"/>
    <w:rsid w:val="79BBC7C6"/>
    <w:rsid w:val="79E8275D"/>
    <w:rsid w:val="7ABB9B3A"/>
    <w:rsid w:val="7D0F61F7"/>
    <w:rsid w:val="7E0F177C"/>
    <w:rsid w:val="FCFF348F"/>
    <w:rsid w:val="FDFFD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1085</Words>
  <Characters>1151</Characters>
  <Lines>0</Lines>
  <Paragraphs>0</Paragraphs>
  <TotalTime>8</TotalTime>
  <ScaleCrop>false</ScaleCrop>
  <LinksUpToDate>false</LinksUpToDate>
  <CharactersWithSpaces>1151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2025-02-25T13:11:00Z</dcterms:created>
  <dc:creator>梅鹤</dc:creator>
  <cp:lastModifiedBy>greatwall</cp:lastModifiedBy>
  <dcterms:modified xsi:type="dcterms:W3CDTF">2026-01-13T09:32:17Z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eyJoZGlkIjoiNjA1MTg3MzhhYTZjZTg5OGYyZGNmMjEyMDNiZTVhNTEiLCJ1c2VySWQiOiIxNTg1ODM0NDc3In0=</vt:lpwstr>
  </property>
  <property fmtid="{D5CDD505-2E9C-101B-9397-08002B2CF9AE}" pid="4" name="ICV">
    <vt:lpwstr>BA723643156340AFB9A7199FD18B9CEA_13</vt:lpwstr>
  </property>
</Properties>
</file>